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E66D755"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jc w:val="center"/>
        <w:rPr>
          <w:rStyle w:val="4"/>
          <w:rFonts w:hint="eastAsia" w:ascii="楷体" w:hAnsi="楷体" w:eastAsia="楷体" w:cs="宋体"/>
          <w:b w:val="0"/>
          <w:bCs w:val="0"/>
          <w:sz w:val="44"/>
          <w:szCs w:val="44"/>
          <w:u w:color="000000"/>
          <w:lang w:eastAsia="zh-CN"/>
        </w:rPr>
      </w:pPr>
      <w:bookmarkStart w:id="0" w:name="_GoBack"/>
      <w:r>
        <w:rPr>
          <w:rStyle w:val="4"/>
          <w:rFonts w:hint="eastAsia" w:ascii="楷体" w:hAnsi="楷体" w:eastAsia="楷体" w:cs="宋体"/>
          <w:b w:val="0"/>
          <w:bCs w:val="0"/>
          <w:sz w:val="44"/>
          <w:szCs w:val="44"/>
          <w:u w:color="000000"/>
          <w:lang w:val="zh-TW" w:eastAsia="zh-TW"/>
        </w:rPr>
        <w:t>全波长酶标仪</w:t>
      </w:r>
      <w:r>
        <w:rPr>
          <w:rStyle w:val="4"/>
          <w:rFonts w:ascii="楷体" w:hAnsi="楷体" w:eastAsia="楷体" w:cs="宋体"/>
          <w:b w:val="0"/>
          <w:bCs w:val="0"/>
          <w:sz w:val="44"/>
          <w:szCs w:val="44"/>
          <w:u w:color="000000"/>
          <w:lang w:eastAsia="zh-CN"/>
        </w:rPr>
        <w:t>K6600</w:t>
      </w:r>
      <w:r>
        <w:rPr>
          <w:rStyle w:val="4"/>
          <w:rFonts w:hint="eastAsia" w:ascii="楷体" w:hAnsi="楷体" w:eastAsia="楷体" w:cs="宋体"/>
          <w:b w:val="0"/>
          <w:bCs w:val="0"/>
          <w:sz w:val="44"/>
          <w:szCs w:val="44"/>
          <w:u w:color="000000"/>
          <w:lang w:eastAsia="zh-CN"/>
        </w:rPr>
        <w:t>A</w:t>
      </w:r>
    </w:p>
    <w:bookmarkEnd w:id="0"/>
    <w:p w14:paraId="3CE3B647"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jc w:val="center"/>
        <w:rPr>
          <w:rStyle w:val="4"/>
          <w:rFonts w:hint="eastAsia" w:ascii="楷体" w:hAnsi="楷体" w:eastAsia="楷体" w:cs="宋体"/>
          <w:b w:val="0"/>
          <w:bCs w:val="0"/>
          <w:sz w:val="44"/>
          <w:szCs w:val="44"/>
          <w:u w:color="000000"/>
          <w:lang w:eastAsia="zh-CN"/>
        </w:rPr>
      </w:pPr>
    </w:p>
    <w:p w14:paraId="422E089D"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jc w:val="both"/>
        <w:rPr>
          <w:rStyle w:val="4"/>
          <w:rFonts w:hint="eastAsia" w:ascii="楷体" w:hAnsi="楷体" w:eastAsia="楷体" w:cs="宋体"/>
          <w:b w:val="0"/>
          <w:bCs w:val="0"/>
          <w:sz w:val="30"/>
          <w:szCs w:val="30"/>
          <w:u w:color="000000"/>
          <w:lang w:val="zh-TW" w:eastAsia="zh-CN"/>
        </w:rPr>
      </w:pPr>
      <w:r>
        <w:rPr>
          <w:rStyle w:val="4"/>
          <w:rFonts w:hint="eastAsia" w:ascii="楷体" w:hAnsi="楷体" w:eastAsia="楷体" w:cs="宋体"/>
          <w:b w:val="0"/>
          <w:bCs w:val="0"/>
          <w:sz w:val="30"/>
          <w:szCs w:val="30"/>
          <w:u w:color="000000"/>
          <w:lang w:val="zh-TW" w:eastAsia="zh-CN"/>
        </w:rPr>
        <w:drawing>
          <wp:inline distT="0" distB="0" distL="114300" distR="114300">
            <wp:extent cx="5269865" cy="3508375"/>
            <wp:effectExtent l="0" t="0" r="6985" b="15875"/>
            <wp:docPr id="1" name="图片 1" descr="13c7f027bc51bbe1c977ceed82e6e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3c7f027bc51bbe1c977ceed82e6ed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609D4">
      <w:pPr>
        <w:framePr w:wrap="auto" w:vAnchor="margin" w:hAnchor="text" w:yAlign="inline"/>
        <w:rPr>
          <w:rStyle w:val="4"/>
          <w:rFonts w:ascii="楷体" w:hAnsi="楷体" w:eastAsia="楷体" w:cs="宋体"/>
          <w:b/>
          <w:bCs/>
          <w:color w:val="auto"/>
          <w:sz w:val="28"/>
          <w:szCs w:val="28"/>
          <w:u w:color="000000"/>
          <w:lang w:eastAsia="zh-CN"/>
        </w:rPr>
      </w:pPr>
      <w:r>
        <w:rPr>
          <w:rStyle w:val="4"/>
          <w:rFonts w:hint="eastAsia" w:ascii="楷体" w:hAnsi="楷体" w:eastAsia="楷体" w:cs="宋体"/>
          <w:b/>
          <w:bCs/>
          <w:color w:val="auto"/>
          <w:sz w:val="28"/>
          <w:szCs w:val="28"/>
          <w:u w:color="000000"/>
          <w:lang w:val="zh-TW" w:eastAsia="zh-TW"/>
        </w:rPr>
        <w:t>主要指标：</w:t>
      </w:r>
    </w:p>
    <w:p w14:paraId="4A80B11A">
      <w:pPr>
        <w:framePr w:wrap="auto" w:vAnchor="margin" w:hAnchor="text" w:yAlign="inline"/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</w:pPr>
      <w:r>
        <w:rPr>
          <w:rStyle w:val="4"/>
          <w:rFonts w:hint="eastAsia" w:ascii="楷体" w:hAnsi="楷体" w:eastAsia="楷体" w:cs="宋体"/>
          <w:color w:val="auto"/>
          <w:sz w:val="24"/>
          <w:szCs w:val="24"/>
          <w:u w:color="000000"/>
          <w:lang w:eastAsia="zh-CN"/>
        </w:rPr>
        <w:t>1.</w:t>
      </w:r>
      <w:r>
        <w:rPr>
          <w:rStyle w:val="4"/>
          <w:rFonts w:hint="eastAsia" w:ascii="楷体" w:hAnsi="楷体" w:eastAsia="楷体" w:cs="宋体"/>
          <w:color w:val="auto"/>
          <w:sz w:val="24"/>
          <w:szCs w:val="24"/>
          <w:u w:color="000000"/>
          <w:lang w:val="zh-TW" w:eastAsia="zh-TW"/>
        </w:rPr>
        <w:t>波</w:t>
      </w: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  <w:t>长范围：190nm-1000nm；</w:t>
      </w:r>
    </w:p>
    <w:p w14:paraId="5E6E113E">
      <w:pPr>
        <w:framePr w:wrap="auto" w:vAnchor="margin" w:hAnchor="text" w:yAlign="inline"/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</w:pP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  <w:t>*2.光源：长寿命闪烁氙灯。</w:t>
      </w:r>
    </w:p>
    <w:p w14:paraId="67E8A1AA">
      <w:pPr>
        <w:framePr w:wrap="auto" w:vAnchor="margin" w:hAnchor="text" w:yAlign="inline"/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CN"/>
        </w:rPr>
      </w:pP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  <w:t>*3.开机无需预热，可直接检测。</w:t>
      </w:r>
    </w:p>
    <w:p w14:paraId="646741CF">
      <w:pPr>
        <w:framePr w:wrap="auto" w:vAnchor="margin" w:hAnchor="text" w:yAlign="inline"/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</w:pP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  <w:t>4.波长准确度：±1.0nm；</w:t>
      </w:r>
    </w:p>
    <w:p w14:paraId="7316CFC1">
      <w:pPr>
        <w:framePr w:wrap="auto" w:vAnchor="margin" w:hAnchor="text" w:yAlign="inline"/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CN"/>
        </w:rPr>
      </w:pP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CN"/>
        </w:rPr>
        <w:t>5.</w:t>
      </w: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  <w:t>波长重复性：</w:t>
      </w: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CN"/>
        </w:rPr>
        <w:t>&lt;0.2nm</w:t>
      </w: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  <w:t>；</w:t>
      </w:r>
    </w:p>
    <w:p w14:paraId="2A2E1A20">
      <w:pPr>
        <w:framePr w:wrap="auto" w:vAnchor="margin" w:hAnchor="text" w:yAlign="inline"/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CN"/>
        </w:rPr>
      </w:pP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CN"/>
        </w:rPr>
        <w:t>6.</w:t>
      </w: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  <w:t>分辨率：</w:t>
      </w: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CN"/>
        </w:rPr>
        <w:t>0.001Abs</w:t>
      </w: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  <w:t>（显示）</w:t>
      </w: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CN"/>
        </w:rPr>
        <w:t>0.000001Abs</w:t>
      </w: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  <w:t>（内部计算）</w:t>
      </w:r>
    </w:p>
    <w:p w14:paraId="587CE0FD">
      <w:pPr>
        <w:framePr w:wrap="auto" w:vAnchor="margin" w:hAnchor="text" w:yAlign="inline"/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CN"/>
        </w:rPr>
      </w:pP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CN"/>
        </w:rPr>
        <w:t>7.</w:t>
      </w: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  <w:t>测定范围：</w:t>
      </w: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CN"/>
        </w:rPr>
        <w:t>0-</w:t>
      </w: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en-US" w:eastAsia="zh-CN"/>
        </w:rPr>
        <w:t>4.0</w:t>
      </w: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CN"/>
        </w:rPr>
        <w:t>OD</w:t>
      </w: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  <w:t>；</w:t>
      </w:r>
    </w:p>
    <w:p w14:paraId="29EE99ED">
      <w:pPr>
        <w:framePr w:wrap="auto" w:vAnchor="margin" w:hAnchor="text" w:yAlign="inline"/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CN"/>
        </w:rPr>
      </w:pP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CN"/>
        </w:rPr>
        <w:t>*8.</w:t>
      </w: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  <w:t>采用</w:t>
      </w: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en-US" w:eastAsia="zh-CN"/>
        </w:rPr>
        <w:t>CMOS</w:t>
      </w: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CN"/>
        </w:rPr>
        <w:t>检测器，可实现全板UV-VIS全波长</w:t>
      </w: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  <w:t>实时光谱扫描</w:t>
      </w: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CN"/>
        </w:rPr>
        <w:t>。</w:t>
      </w:r>
    </w:p>
    <w:p w14:paraId="66EB635C">
      <w:pPr>
        <w:framePr w:wrap="auto" w:vAnchor="margin" w:hAnchor="text" w:yAlign="inline"/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CN"/>
        </w:rPr>
      </w:pP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CN"/>
        </w:rPr>
        <w:t>*9.单孔UV-VIS全波长扫描仅需1s。</w:t>
      </w:r>
    </w:p>
    <w:p w14:paraId="4193180B">
      <w:pPr>
        <w:framePr w:wrap="auto" w:vAnchor="margin" w:hAnchor="text" w:yAlign="inline"/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</w:pP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CN"/>
        </w:rPr>
        <w:t>*10.</w:t>
      </w: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  <w:t>实时输出紫外</w:t>
      </w: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CN"/>
        </w:rPr>
        <w:t>-</w:t>
      </w: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  <w:t>可见</w:t>
      </w: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CN"/>
        </w:rPr>
        <w:t>全波长</w:t>
      </w: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  <w:t>光谱图；</w:t>
      </w:r>
    </w:p>
    <w:p w14:paraId="536CC026">
      <w:pPr>
        <w:framePr w:wrap="auto" w:vAnchor="margin" w:hAnchor="text" w:yAlign="inline"/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</w:pP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CN"/>
        </w:rPr>
        <w:t>11.</w:t>
      </w: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  <w:t>布板方式：可视化自由布板。</w:t>
      </w:r>
    </w:p>
    <w:p w14:paraId="02F432DC">
      <w:pPr>
        <w:framePr w:wrap="auto" w:vAnchor="margin" w:hAnchor="text" w:yAlign="inline"/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</w:pP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CN"/>
        </w:rPr>
        <w:t>12.</w:t>
      </w: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  <w:t>自带孵育加热功能。孵育温度：(室温+2℃)至65℃；</w:t>
      </w:r>
    </w:p>
    <w:p w14:paraId="25068064">
      <w:pPr>
        <w:framePr w:wrap="auto" w:vAnchor="margin" w:hAnchor="text" w:yAlign="inline"/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</w:pP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  <w:t>13.微孔板类型：标准96孔酶标板（其余可扩展定制）</w:t>
      </w:r>
    </w:p>
    <w:p w14:paraId="398EF855">
      <w:pPr>
        <w:framePr w:wrap="auto" w:vAnchor="margin" w:hAnchor="text" w:yAlign="inline"/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</w:pP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  <w:t>*14.可实现1~24比色皿检测（比色皿选配）</w:t>
      </w:r>
    </w:p>
    <w:p w14:paraId="6CD30665">
      <w:pPr>
        <w:framePr w:wrap="auto" w:vAnchor="margin" w:hAnchor="text" w:yAlign="inline"/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</w:pP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  <w:t>*15.微量板模块：使用特制的微量石英板，可直接检测核酸和蛋白的吸光度、浓度以及纯度（微量石英板选配）</w:t>
      </w:r>
    </w:p>
    <w:p w14:paraId="4B972DF1">
      <w:pPr>
        <w:framePr w:wrap="auto" w:vAnchor="margin" w:hAnchor="text" w:yAlign="inline"/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</w:pP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  <w:t>16.形式多样的综合中文报告输出：列表报告、版图报告、单孔报告；可以导出报告格式有：excel、word、pdf、txt等。</w:t>
      </w:r>
    </w:p>
    <w:p w14:paraId="7778A9D5">
      <w:pPr>
        <w:framePr w:wrap="auto" w:vAnchor="margin" w:hAnchor="text" w:yAlign="inline"/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</w:pP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  <w:t>17.可进行OD值、定量或定性检测，多种计算方法：吸光度模式、 Cut-off定性计算、线性回归、指数回归、对数回归</w:t>
      </w:r>
    </w:p>
    <w:p w14:paraId="579C7940">
      <w:pPr>
        <w:framePr w:wrap="auto" w:vAnchor="margin" w:hAnchor="text" w:yAlign="inline"/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</w:pP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  <w:t>18.适用于大多数生命科学研究工作，以及终点法ELISA，动力学检测，核酸蛋白定量、菌液浓度分析、MTT实验等。</w:t>
      </w:r>
    </w:p>
    <w:p w14:paraId="55B7E790">
      <w:pPr>
        <w:framePr w:wrap="auto" w:vAnchor="margin" w:hAnchor="text" w:yAlign="inline"/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</w:pP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  <w:t>19.可自定义检测波长，波长范围190nm-1000nm</w:t>
      </w:r>
    </w:p>
    <w:p w14:paraId="0376A8E1"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jc w:val="both"/>
        <w:rPr>
          <w:rStyle w:val="4"/>
          <w:rFonts w:hint="eastAsia" w:ascii="楷体" w:hAnsi="楷体" w:eastAsia="楷体" w:cs="宋体"/>
          <w:b w:val="0"/>
          <w:bCs w:val="0"/>
          <w:color w:val="auto"/>
          <w:sz w:val="24"/>
          <w:szCs w:val="24"/>
          <w:u w:color="000000"/>
          <w:lang w:val="en-US" w:eastAsia="zh-CN"/>
        </w:rPr>
      </w:pPr>
    </w:p>
    <w:p w14:paraId="3B020FC7"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jc w:val="both"/>
        <w:rPr>
          <w:rStyle w:val="4"/>
          <w:rFonts w:hint="eastAsia" w:ascii="楷体" w:hAnsi="楷体" w:eastAsia="楷体" w:cs="宋体"/>
          <w:b/>
          <w:bCs/>
          <w:color w:val="auto"/>
          <w:sz w:val="28"/>
          <w:szCs w:val="28"/>
          <w:u w:color="000000"/>
          <w:lang w:val="en-US" w:eastAsia="zh-CN"/>
        </w:rPr>
      </w:pPr>
      <w:r>
        <w:rPr>
          <w:rStyle w:val="4"/>
          <w:rFonts w:hint="eastAsia" w:ascii="楷体" w:hAnsi="楷体" w:eastAsia="楷体" w:cs="宋体"/>
          <w:b/>
          <w:bCs/>
          <w:color w:val="auto"/>
          <w:sz w:val="28"/>
          <w:szCs w:val="28"/>
          <w:u w:color="000000"/>
          <w:lang w:val="en-US" w:eastAsia="zh-CN"/>
        </w:rPr>
        <w:t>主要组成：</w:t>
      </w:r>
    </w:p>
    <w:p w14:paraId="173B7205">
      <w:pPr>
        <w:framePr w:wrap="auto" w:vAnchor="margin" w:hAnchor="text" w:yAlign="inline"/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</w:pPr>
    </w:p>
    <w:p w14:paraId="5AEA2D10">
      <w:pPr>
        <w:framePr w:wrap="auto" w:vAnchor="margin" w:hAnchor="text" w:yAlign="inline"/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</w:pP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  <w:t>主机（包括光源、检测器、孵育装置、振荡装置</w:t>
      </w: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CN"/>
        </w:rPr>
        <w:t>、电脑</w:t>
      </w: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  <w:t>）</w:t>
      </w:r>
    </w:p>
    <w:p w14:paraId="0E178A4E">
      <w:pPr>
        <w:framePr w:wrap="auto" w:vAnchor="margin" w:hAnchor="text" w:yAlign="inline"/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</w:pP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CN"/>
        </w:rPr>
        <w:t>K6600-A</w:t>
      </w: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zh-TW" w:eastAsia="zh-TW"/>
        </w:rPr>
        <w:t>型光吸收全波长酶标仪工作站软件</w:t>
      </w:r>
    </w:p>
    <w:p w14:paraId="0BF50505">
      <w:pPr>
        <w:framePr w:wrap="auto" w:vAnchor="margin" w:hAnchor="text" w:yAlign="inline"/>
        <w:rPr>
          <w:rStyle w:val="4"/>
          <w:rFonts w:hint="default" w:asciiTheme="majorEastAsia" w:hAnsiTheme="majorEastAsia" w:eastAsiaTheme="majorEastAsia" w:cstheme="majorEastAsia"/>
          <w:color w:val="auto"/>
          <w:sz w:val="24"/>
          <w:szCs w:val="24"/>
          <w:u w:color="000000"/>
          <w:lang w:val="en-US" w:eastAsia="zh-CN"/>
        </w:rPr>
      </w:pPr>
      <w:r>
        <w:rPr>
          <w:rStyle w:val="4"/>
          <w:rFonts w:hint="eastAsia" w:asciiTheme="majorEastAsia" w:hAnsiTheme="majorEastAsia" w:eastAsiaTheme="majorEastAsia" w:cstheme="majorEastAsia"/>
          <w:color w:val="auto"/>
          <w:sz w:val="24"/>
          <w:szCs w:val="24"/>
          <w:u w:color="000000"/>
          <w:lang w:val="en-US" w:eastAsia="zh-CN"/>
        </w:rPr>
        <w:t>内置9寸win10操作系统</w:t>
      </w:r>
    </w:p>
    <w:p w14:paraId="15E066B4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ODE0NWZkOGY0NGI0YWZkYTMwMjYzNmZiMTM3ODgifQ=="/>
  </w:docVars>
  <w:rsids>
    <w:rsidRoot w:val="29600DF5"/>
    <w:rsid w:val="2960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2024-06-16T02:47:00Z</dcterms:created>
  <dc:creator>s影</dc:creator>
  <cp:lastModifiedBy>s影</cp:lastModifiedBy>
  <dcterms:modified xsi:type="dcterms:W3CDTF">2024-06-16T02:51:53Z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2A402E81779D4D048C4CA71B07739D94_11</vt:lpwstr>
  </property>
</Properties>
</file>